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2BB3" w14:textId="37B050F9" w:rsidR="00557B43" w:rsidRDefault="0039190F" w:rsidP="00557B43">
      <w:pPr>
        <w:jc w:val="center"/>
        <w:rPr>
          <w:rFonts w:ascii="AvenirNext LT Pro Regular" w:hAnsi="AvenirNext LT Pro Regular" w:cs="Arial"/>
          <w:b/>
          <w:sz w:val="72"/>
          <w:szCs w:val="72"/>
        </w:rPr>
      </w:pPr>
      <w:r>
        <w:rPr>
          <w:rFonts w:ascii="AvenirNext LT Pro Regular" w:hAnsi="AvenirNext LT Pro Regular" w:cs="Arial"/>
          <w:b/>
          <w:noProof/>
          <w:sz w:val="72"/>
          <w:szCs w:val="72"/>
        </w:rPr>
        <w:drawing>
          <wp:inline distT="0" distB="0" distL="0" distR="0" wp14:anchorId="021F2C37" wp14:editId="36B77D78">
            <wp:extent cx="4167739" cy="2001809"/>
            <wp:effectExtent l="0" t="0" r="4445" b="0"/>
            <wp:docPr id="2107054734" name="Afbeelding 3"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54734" name="Afbeelding 3" descr="Afbeelding met Lettertype, Graphics, tekst, grafische vormgeving&#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3823" cy="2004731"/>
                    </a:xfrm>
                    <a:prstGeom prst="rect">
                      <a:avLst/>
                    </a:prstGeom>
                  </pic:spPr>
                </pic:pic>
              </a:graphicData>
            </a:graphic>
          </wp:inline>
        </w:drawing>
      </w:r>
    </w:p>
    <w:p w14:paraId="5AB73A08" w14:textId="77777777" w:rsidR="00557B43" w:rsidRPr="00557B43" w:rsidRDefault="00557B43" w:rsidP="00557B43">
      <w:pPr>
        <w:jc w:val="center"/>
        <w:rPr>
          <w:rFonts w:ascii="AvenirNext LT Pro Regular" w:hAnsi="AvenirNext LT Pro Regular" w:cs="Arial"/>
          <w:b/>
          <w:sz w:val="20"/>
          <w:szCs w:val="20"/>
        </w:rPr>
      </w:pPr>
    </w:p>
    <w:p w14:paraId="4DED9233" w14:textId="3E1FF3AD" w:rsidR="00557B43" w:rsidRDefault="00557B43" w:rsidP="00557B43">
      <w:pPr>
        <w:jc w:val="center"/>
      </w:pPr>
      <w:r w:rsidRPr="00557B43">
        <w:rPr>
          <w:rFonts w:ascii="AvenirNext LT Pro Regular" w:hAnsi="AvenirNext LT Pro Regular" w:cs="Arial"/>
          <w:b/>
          <w:sz w:val="144"/>
          <w:szCs w:val="144"/>
        </w:rPr>
        <w:t>Begeleiding van dyslexie</w:t>
      </w:r>
      <w:r w:rsidRPr="00F64942">
        <w:rPr>
          <w:rFonts w:ascii="AvenirNext LT Pro Regular" w:hAnsi="AvenirNext LT Pro Regular"/>
          <w:noProof/>
          <w:color w:val="0000FF"/>
          <w:lang w:eastAsia="nl-NL"/>
        </w:rPr>
        <w:drawing>
          <wp:inline distT="0" distB="0" distL="0" distR="0" wp14:anchorId="337B5380" wp14:editId="1D3F26F3">
            <wp:extent cx="5112032" cy="3646583"/>
            <wp:effectExtent l="0" t="0" r="0" b="0"/>
            <wp:docPr id="2" name="irc_mi" descr="http://gevoeligkind.nl/files/2013/10/beelddenken-300x21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evoeligkind.nl/files/2013/10/beelddenken-300x21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3792" cy="3683505"/>
                    </a:xfrm>
                    <a:prstGeom prst="rect">
                      <a:avLst/>
                    </a:prstGeom>
                    <a:noFill/>
                    <a:ln>
                      <a:noFill/>
                    </a:ln>
                  </pic:spPr>
                </pic:pic>
              </a:graphicData>
            </a:graphic>
          </wp:inline>
        </w:drawing>
      </w:r>
      <w:r>
        <w:br w:type="page"/>
      </w:r>
    </w:p>
    <w:p w14:paraId="149605CC" w14:textId="77777777" w:rsidR="00326484" w:rsidRDefault="00557B43">
      <w:r w:rsidRPr="00F64942">
        <w:rPr>
          <w:rFonts w:ascii="AvenirNext LT Pro Regular" w:hAnsi="AvenirNext LT Pro Regular" w:cs="Arial"/>
          <w:b/>
          <w:noProof/>
          <w:sz w:val="24"/>
          <w:szCs w:val="24"/>
          <w:lang w:eastAsia="nl-NL"/>
        </w:rPr>
        <w:lastRenderedPageBreak/>
        <w:drawing>
          <wp:inline distT="0" distB="0" distL="0" distR="0" wp14:anchorId="1AC5FCC4" wp14:editId="387E9F6E">
            <wp:extent cx="5541484" cy="3557905"/>
            <wp:effectExtent l="0" t="0" r="254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459"/>
                    <a:stretch/>
                  </pic:blipFill>
                  <pic:spPr bwMode="auto">
                    <a:xfrm>
                      <a:off x="0" y="0"/>
                      <a:ext cx="5570757" cy="3576700"/>
                    </a:xfrm>
                    <a:prstGeom prst="rect">
                      <a:avLst/>
                    </a:prstGeom>
                    <a:noFill/>
                    <a:ln>
                      <a:noFill/>
                    </a:ln>
                    <a:extLst>
                      <a:ext uri="{53640926-AAD7-44D8-BBD7-CCE9431645EC}">
                        <a14:shadowObscured xmlns:a14="http://schemas.microsoft.com/office/drawing/2010/main"/>
                      </a:ext>
                    </a:extLst>
                  </pic:spPr>
                </pic:pic>
              </a:graphicData>
            </a:graphic>
          </wp:inline>
        </w:drawing>
      </w:r>
    </w:p>
    <w:p w14:paraId="0E53705C" w14:textId="77777777" w:rsidR="0039190F" w:rsidRDefault="0039190F"/>
    <w:p w14:paraId="4E74422E" w14:textId="77777777" w:rsidR="0039190F" w:rsidRDefault="0039190F"/>
    <w:p w14:paraId="0ACEB30C" w14:textId="77777777" w:rsidR="0039190F" w:rsidRDefault="0039190F"/>
    <w:sdt>
      <w:sdtPr>
        <w:rPr>
          <w:rFonts w:eastAsiaTheme="minorHAnsi" w:cstheme="minorBidi"/>
          <w:b/>
          <w:bCs w:val="0"/>
          <w:color w:val="auto"/>
          <w:sz w:val="22"/>
          <w:szCs w:val="22"/>
          <w:u w:val="none"/>
          <w:lang w:eastAsia="en-US"/>
        </w:rPr>
        <w:id w:val="1660424500"/>
        <w:docPartObj>
          <w:docPartGallery w:val="Table of Contents"/>
          <w:docPartUnique/>
        </w:docPartObj>
      </w:sdtPr>
      <w:sdtEndPr>
        <w:rPr>
          <w:sz w:val="24"/>
          <w:szCs w:val="24"/>
        </w:rPr>
      </w:sdtEndPr>
      <w:sdtContent>
        <w:p w14:paraId="5A692C2A" w14:textId="77777777" w:rsidR="00557B43" w:rsidRPr="00C4739D" w:rsidRDefault="00557B43" w:rsidP="00557B43">
          <w:pPr>
            <w:pStyle w:val="Kopvaninhoudsopgave"/>
            <w:rPr>
              <w:rStyle w:val="Kop1Char"/>
            </w:rPr>
          </w:pPr>
          <w:r w:rsidRPr="00C4739D">
            <w:rPr>
              <w:rStyle w:val="Kop1Char"/>
            </w:rPr>
            <w:t>Inhoud</w:t>
          </w:r>
        </w:p>
        <w:p w14:paraId="0FD0306C" w14:textId="77777777" w:rsidR="00557B43" w:rsidRPr="00F64942" w:rsidRDefault="00557B43" w:rsidP="00557B43">
          <w:pPr>
            <w:rPr>
              <w:rFonts w:ascii="AvenirNext LT Pro Regular" w:hAnsi="AvenirNext LT Pro Regular"/>
              <w:lang w:eastAsia="nl-NL"/>
            </w:rPr>
          </w:pPr>
        </w:p>
        <w:p w14:paraId="51D47DE3" w14:textId="52C2339E" w:rsidR="004F1379" w:rsidRDefault="00BA5A33">
          <w:pPr>
            <w:pStyle w:val="Inhopg1"/>
            <w:tabs>
              <w:tab w:val="right" w:leader="dot" w:pos="9062"/>
            </w:tabs>
            <w:rPr>
              <w:rFonts w:asciiTheme="minorHAnsi" w:eastAsiaTheme="minorEastAsia" w:hAnsiTheme="minorHAnsi"/>
              <w:b w:val="0"/>
              <w:noProof/>
              <w:sz w:val="22"/>
              <w:lang w:eastAsia="nl-NL"/>
            </w:rPr>
          </w:pPr>
          <w:r>
            <w:rPr>
              <w:rFonts w:cs="Arial"/>
              <w:sz w:val="24"/>
              <w:szCs w:val="24"/>
            </w:rPr>
            <w:fldChar w:fldCharType="begin"/>
          </w:r>
          <w:r>
            <w:rPr>
              <w:rFonts w:cs="Arial"/>
              <w:sz w:val="24"/>
              <w:szCs w:val="24"/>
            </w:rPr>
            <w:instrText xml:space="preserve"> TOC \o "1-3" \h \z \u </w:instrText>
          </w:r>
          <w:r>
            <w:rPr>
              <w:rFonts w:cs="Arial"/>
              <w:sz w:val="24"/>
              <w:szCs w:val="24"/>
            </w:rPr>
            <w:fldChar w:fldCharType="separate"/>
          </w:r>
          <w:hyperlink w:anchor="_Toc125284588" w:history="1">
            <w:r w:rsidR="004F1379" w:rsidRPr="00CA3D32">
              <w:rPr>
                <w:rStyle w:val="Hyperlink"/>
                <w:noProof/>
              </w:rPr>
              <w:t>Wat is dyslexie?</w:t>
            </w:r>
            <w:r w:rsidR="004F1379">
              <w:rPr>
                <w:noProof/>
                <w:webHidden/>
              </w:rPr>
              <w:tab/>
            </w:r>
            <w:r w:rsidR="004F1379">
              <w:rPr>
                <w:noProof/>
                <w:webHidden/>
              </w:rPr>
              <w:fldChar w:fldCharType="begin"/>
            </w:r>
            <w:r w:rsidR="004F1379">
              <w:rPr>
                <w:noProof/>
                <w:webHidden/>
              </w:rPr>
              <w:instrText xml:space="preserve"> PAGEREF _Toc125284588 \h </w:instrText>
            </w:r>
            <w:r w:rsidR="004F1379">
              <w:rPr>
                <w:noProof/>
                <w:webHidden/>
              </w:rPr>
            </w:r>
            <w:r w:rsidR="004F1379">
              <w:rPr>
                <w:noProof/>
                <w:webHidden/>
              </w:rPr>
              <w:fldChar w:fldCharType="separate"/>
            </w:r>
            <w:r w:rsidR="00F27E80">
              <w:rPr>
                <w:noProof/>
                <w:webHidden/>
              </w:rPr>
              <w:t>3</w:t>
            </w:r>
            <w:r w:rsidR="004F1379">
              <w:rPr>
                <w:noProof/>
                <w:webHidden/>
              </w:rPr>
              <w:fldChar w:fldCharType="end"/>
            </w:r>
          </w:hyperlink>
        </w:p>
        <w:p w14:paraId="5FEE50F8" w14:textId="46F064F0" w:rsidR="004F1379" w:rsidRDefault="0039190F">
          <w:pPr>
            <w:pStyle w:val="Inhopg1"/>
            <w:tabs>
              <w:tab w:val="right" w:leader="dot" w:pos="9062"/>
            </w:tabs>
            <w:rPr>
              <w:rFonts w:asciiTheme="minorHAnsi" w:eastAsiaTheme="minorEastAsia" w:hAnsiTheme="minorHAnsi"/>
              <w:b w:val="0"/>
              <w:noProof/>
              <w:sz w:val="22"/>
              <w:lang w:eastAsia="nl-NL"/>
            </w:rPr>
          </w:pPr>
          <w:hyperlink w:anchor="_Toc125284589" w:history="1">
            <w:r w:rsidR="004F1379" w:rsidRPr="00CA3D32">
              <w:rPr>
                <w:rStyle w:val="Hyperlink"/>
                <w:noProof/>
              </w:rPr>
              <w:t>Wat biedt het HVC?</w:t>
            </w:r>
            <w:r w:rsidR="004F1379">
              <w:rPr>
                <w:noProof/>
                <w:webHidden/>
              </w:rPr>
              <w:tab/>
            </w:r>
            <w:r w:rsidR="004F1379">
              <w:rPr>
                <w:noProof/>
                <w:webHidden/>
              </w:rPr>
              <w:fldChar w:fldCharType="begin"/>
            </w:r>
            <w:r w:rsidR="004F1379">
              <w:rPr>
                <w:noProof/>
                <w:webHidden/>
              </w:rPr>
              <w:instrText xml:space="preserve"> PAGEREF _Toc125284589 \h </w:instrText>
            </w:r>
            <w:r w:rsidR="004F1379">
              <w:rPr>
                <w:noProof/>
                <w:webHidden/>
              </w:rPr>
            </w:r>
            <w:r w:rsidR="004F1379">
              <w:rPr>
                <w:noProof/>
                <w:webHidden/>
              </w:rPr>
              <w:fldChar w:fldCharType="separate"/>
            </w:r>
            <w:r w:rsidR="00F27E80">
              <w:rPr>
                <w:noProof/>
                <w:webHidden/>
              </w:rPr>
              <w:t>4</w:t>
            </w:r>
            <w:r w:rsidR="004F1379">
              <w:rPr>
                <w:noProof/>
                <w:webHidden/>
              </w:rPr>
              <w:fldChar w:fldCharType="end"/>
            </w:r>
          </w:hyperlink>
        </w:p>
        <w:p w14:paraId="54A51C53" w14:textId="05A6F518" w:rsidR="004F1379" w:rsidRDefault="0039190F">
          <w:pPr>
            <w:pStyle w:val="Inhopg2"/>
            <w:tabs>
              <w:tab w:val="right" w:leader="dot" w:pos="9062"/>
            </w:tabs>
            <w:rPr>
              <w:rFonts w:asciiTheme="minorHAnsi" w:eastAsiaTheme="minorEastAsia" w:hAnsiTheme="minorHAnsi"/>
              <w:noProof/>
              <w:sz w:val="22"/>
              <w:lang w:eastAsia="nl-NL"/>
            </w:rPr>
          </w:pPr>
          <w:hyperlink w:anchor="_Toc125284590" w:history="1">
            <w:r w:rsidR="004F1379" w:rsidRPr="00CA3D32">
              <w:rPr>
                <w:rStyle w:val="Hyperlink"/>
                <w:noProof/>
              </w:rPr>
              <w:t>Faciliteitenkaart Dyslexie</w:t>
            </w:r>
            <w:r w:rsidR="004F1379">
              <w:rPr>
                <w:noProof/>
                <w:webHidden/>
              </w:rPr>
              <w:tab/>
            </w:r>
            <w:r w:rsidR="004F1379">
              <w:rPr>
                <w:noProof/>
                <w:webHidden/>
              </w:rPr>
              <w:fldChar w:fldCharType="begin"/>
            </w:r>
            <w:r w:rsidR="004F1379">
              <w:rPr>
                <w:noProof/>
                <w:webHidden/>
              </w:rPr>
              <w:instrText xml:space="preserve"> PAGEREF _Toc125284590 \h </w:instrText>
            </w:r>
            <w:r w:rsidR="004F1379">
              <w:rPr>
                <w:noProof/>
                <w:webHidden/>
              </w:rPr>
            </w:r>
            <w:r w:rsidR="004F1379">
              <w:rPr>
                <w:noProof/>
                <w:webHidden/>
              </w:rPr>
              <w:fldChar w:fldCharType="separate"/>
            </w:r>
            <w:r w:rsidR="00F27E80">
              <w:rPr>
                <w:noProof/>
                <w:webHidden/>
              </w:rPr>
              <w:t>4</w:t>
            </w:r>
            <w:r w:rsidR="004F1379">
              <w:rPr>
                <w:noProof/>
                <w:webHidden/>
              </w:rPr>
              <w:fldChar w:fldCharType="end"/>
            </w:r>
          </w:hyperlink>
        </w:p>
        <w:p w14:paraId="5D3C7B03" w14:textId="5AE8B5B2" w:rsidR="004F1379" w:rsidRDefault="0039190F">
          <w:pPr>
            <w:pStyle w:val="Inhopg2"/>
            <w:tabs>
              <w:tab w:val="right" w:leader="dot" w:pos="9062"/>
            </w:tabs>
            <w:rPr>
              <w:rFonts w:asciiTheme="minorHAnsi" w:eastAsiaTheme="minorEastAsia" w:hAnsiTheme="minorHAnsi"/>
              <w:noProof/>
              <w:sz w:val="22"/>
              <w:lang w:eastAsia="nl-NL"/>
            </w:rPr>
          </w:pPr>
          <w:hyperlink w:anchor="_Toc125284591" w:history="1">
            <w:r w:rsidR="004F1379" w:rsidRPr="00CA3D32">
              <w:rPr>
                <w:rStyle w:val="Hyperlink"/>
                <w:noProof/>
              </w:rPr>
              <w:t>De dyslexiecoach</w:t>
            </w:r>
            <w:r w:rsidR="004F1379">
              <w:rPr>
                <w:noProof/>
                <w:webHidden/>
              </w:rPr>
              <w:tab/>
            </w:r>
            <w:r w:rsidR="004F1379">
              <w:rPr>
                <w:noProof/>
                <w:webHidden/>
              </w:rPr>
              <w:fldChar w:fldCharType="begin"/>
            </w:r>
            <w:r w:rsidR="004F1379">
              <w:rPr>
                <w:noProof/>
                <w:webHidden/>
              </w:rPr>
              <w:instrText xml:space="preserve"> PAGEREF _Toc125284591 \h </w:instrText>
            </w:r>
            <w:r w:rsidR="004F1379">
              <w:rPr>
                <w:noProof/>
                <w:webHidden/>
              </w:rPr>
            </w:r>
            <w:r w:rsidR="004F1379">
              <w:rPr>
                <w:noProof/>
                <w:webHidden/>
              </w:rPr>
              <w:fldChar w:fldCharType="separate"/>
            </w:r>
            <w:r w:rsidR="00F27E80">
              <w:rPr>
                <w:noProof/>
                <w:webHidden/>
              </w:rPr>
              <w:t>4</w:t>
            </w:r>
            <w:r w:rsidR="004F1379">
              <w:rPr>
                <w:noProof/>
                <w:webHidden/>
              </w:rPr>
              <w:fldChar w:fldCharType="end"/>
            </w:r>
          </w:hyperlink>
        </w:p>
        <w:p w14:paraId="7447FA47" w14:textId="1040EB55" w:rsidR="004F1379" w:rsidRDefault="0039190F">
          <w:pPr>
            <w:pStyle w:val="Inhopg2"/>
            <w:tabs>
              <w:tab w:val="right" w:leader="dot" w:pos="9062"/>
            </w:tabs>
            <w:rPr>
              <w:rFonts w:asciiTheme="minorHAnsi" w:eastAsiaTheme="minorEastAsia" w:hAnsiTheme="minorHAnsi"/>
              <w:noProof/>
              <w:sz w:val="22"/>
              <w:lang w:eastAsia="nl-NL"/>
            </w:rPr>
          </w:pPr>
          <w:hyperlink w:anchor="_Toc125284592" w:history="1">
            <w:r w:rsidR="004F1379" w:rsidRPr="00CA3D32">
              <w:rPr>
                <w:rStyle w:val="Hyperlink"/>
                <w:noProof/>
              </w:rPr>
              <w:t>Digitale dyslexie ondersteuning</w:t>
            </w:r>
            <w:r w:rsidR="004F1379">
              <w:rPr>
                <w:noProof/>
                <w:webHidden/>
              </w:rPr>
              <w:tab/>
            </w:r>
            <w:r w:rsidR="004F1379">
              <w:rPr>
                <w:noProof/>
                <w:webHidden/>
              </w:rPr>
              <w:fldChar w:fldCharType="begin"/>
            </w:r>
            <w:r w:rsidR="004F1379">
              <w:rPr>
                <w:noProof/>
                <w:webHidden/>
              </w:rPr>
              <w:instrText xml:space="preserve"> PAGEREF _Toc125284592 \h </w:instrText>
            </w:r>
            <w:r w:rsidR="004F1379">
              <w:rPr>
                <w:noProof/>
                <w:webHidden/>
              </w:rPr>
            </w:r>
            <w:r w:rsidR="004F1379">
              <w:rPr>
                <w:noProof/>
                <w:webHidden/>
              </w:rPr>
              <w:fldChar w:fldCharType="separate"/>
            </w:r>
            <w:r w:rsidR="00F27E80">
              <w:rPr>
                <w:noProof/>
                <w:webHidden/>
              </w:rPr>
              <w:t>5</w:t>
            </w:r>
            <w:r w:rsidR="004F1379">
              <w:rPr>
                <w:noProof/>
                <w:webHidden/>
              </w:rPr>
              <w:fldChar w:fldCharType="end"/>
            </w:r>
          </w:hyperlink>
        </w:p>
        <w:p w14:paraId="08596DFB" w14:textId="3E7872DA" w:rsidR="004F1379" w:rsidRDefault="0039190F">
          <w:pPr>
            <w:pStyle w:val="Inhopg1"/>
            <w:tabs>
              <w:tab w:val="right" w:leader="dot" w:pos="9062"/>
            </w:tabs>
            <w:rPr>
              <w:rFonts w:asciiTheme="minorHAnsi" w:eastAsiaTheme="minorEastAsia" w:hAnsiTheme="minorHAnsi"/>
              <w:b w:val="0"/>
              <w:noProof/>
              <w:sz w:val="22"/>
              <w:lang w:eastAsia="nl-NL"/>
            </w:rPr>
          </w:pPr>
          <w:hyperlink w:anchor="_Toc125284593" w:history="1">
            <w:r w:rsidR="004F1379" w:rsidRPr="00CA3D32">
              <w:rPr>
                <w:rStyle w:val="Hyperlink"/>
                <w:noProof/>
              </w:rPr>
              <w:t>Meer informatie</w:t>
            </w:r>
            <w:r w:rsidR="004F1379">
              <w:rPr>
                <w:noProof/>
                <w:webHidden/>
              </w:rPr>
              <w:tab/>
            </w:r>
            <w:r w:rsidR="004F1379">
              <w:rPr>
                <w:noProof/>
                <w:webHidden/>
              </w:rPr>
              <w:fldChar w:fldCharType="begin"/>
            </w:r>
            <w:r w:rsidR="004F1379">
              <w:rPr>
                <w:noProof/>
                <w:webHidden/>
              </w:rPr>
              <w:instrText xml:space="preserve"> PAGEREF _Toc125284593 \h </w:instrText>
            </w:r>
            <w:r w:rsidR="004F1379">
              <w:rPr>
                <w:noProof/>
                <w:webHidden/>
              </w:rPr>
            </w:r>
            <w:r w:rsidR="004F1379">
              <w:rPr>
                <w:noProof/>
                <w:webHidden/>
              </w:rPr>
              <w:fldChar w:fldCharType="separate"/>
            </w:r>
            <w:r w:rsidR="00F27E80">
              <w:rPr>
                <w:noProof/>
                <w:webHidden/>
              </w:rPr>
              <w:t>6</w:t>
            </w:r>
            <w:r w:rsidR="004F1379">
              <w:rPr>
                <w:noProof/>
                <w:webHidden/>
              </w:rPr>
              <w:fldChar w:fldCharType="end"/>
            </w:r>
          </w:hyperlink>
        </w:p>
        <w:p w14:paraId="153B6858" w14:textId="69DCF725" w:rsidR="00557B43" w:rsidRPr="00F64942" w:rsidRDefault="00BA5A33" w:rsidP="00557B43">
          <w:pPr>
            <w:pStyle w:val="Inhopg1"/>
            <w:tabs>
              <w:tab w:val="right" w:leader="dot" w:pos="5573"/>
            </w:tabs>
            <w:rPr>
              <w:sz w:val="24"/>
              <w:szCs w:val="24"/>
            </w:rPr>
          </w:pPr>
          <w:r>
            <w:rPr>
              <w:rFonts w:cs="Arial"/>
              <w:sz w:val="24"/>
              <w:szCs w:val="24"/>
            </w:rPr>
            <w:fldChar w:fldCharType="end"/>
          </w:r>
        </w:p>
      </w:sdtContent>
    </w:sdt>
    <w:p w14:paraId="231EBA35" w14:textId="77777777" w:rsidR="00557B43" w:rsidRDefault="00557B43">
      <w:pPr>
        <w:spacing w:after="160" w:line="259" w:lineRule="auto"/>
      </w:pPr>
      <w:r>
        <w:br w:type="page"/>
      </w:r>
    </w:p>
    <w:p w14:paraId="6CDA4C9B" w14:textId="77777777" w:rsidR="00557B43" w:rsidRPr="00C4739D" w:rsidRDefault="00557B43" w:rsidP="00C4739D">
      <w:pPr>
        <w:pStyle w:val="Kop1"/>
        <w:rPr>
          <w:szCs w:val="56"/>
        </w:rPr>
      </w:pPr>
      <w:bookmarkStart w:id="0" w:name="_Toc125284588"/>
      <w:r w:rsidRPr="00C4739D">
        <w:rPr>
          <w:szCs w:val="56"/>
        </w:rPr>
        <w:lastRenderedPageBreak/>
        <w:t>Wat is dyslexie?</w:t>
      </w:r>
      <w:bookmarkEnd w:id="0"/>
    </w:p>
    <w:p w14:paraId="0DB9CFD8" w14:textId="77777777" w:rsidR="00557B43" w:rsidRPr="00F64942" w:rsidRDefault="00557B43" w:rsidP="00C4739D">
      <w:pPr>
        <w:pStyle w:val="Geenafstand"/>
      </w:pPr>
      <w:r w:rsidRPr="00F64942">
        <w:t>Dyslexie is een stoornis die gekenmerkt wordt door een hardnekkig probleem met het aanleren en het goed toepassen van het lezen en het spellen op woordniveau.</w:t>
      </w:r>
    </w:p>
    <w:p w14:paraId="2C675CEC" w14:textId="77777777" w:rsidR="00C4739D" w:rsidRDefault="00C4739D" w:rsidP="00C4739D">
      <w:pPr>
        <w:pStyle w:val="Geenafstand"/>
      </w:pPr>
    </w:p>
    <w:p w14:paraId="1464A034" w14:textId="77777777" w:rsidR="00C4739D" w:rsidRDefault="00557B43" w:rsidP="00C4739D">
      <w:pPr>
        <w:pStyle w:val="Geenafstand"/>
      </w:pPr>
      <w:r w:rsidRPr="00F64942">
        <w:t xml:space="preserve">Dyslexie is een specifiek leerprobleem, het heeft niets met intelligentie te maken. Mensen met dyslexie leren op een andere manier dan mensen zonder dyslexie. Mensen met dyslexie hebben problemen met de klankstructuur van woorden (fonologie) en hebben automatiseringsproblemen. </w:t>
      </w:r>
    </w:p>
    <w:p w14:paraId="7362B5E4" w14:textId="77777777" w:rsidR="00C4739D" w:rsidRDefault="00C4739D" w:rsidP="00C4739D">
      <w:pPr>
        <w:pStyle w:val="Geenafstand"/>
      </w:pPr>
    </w:p>
    <w:p w14:paraId="2CE8E537" w14:textId="77777777" w:rsidR="00557B43" w:rsidRPr="00F64942" w:rsidRDefault="00557B43" w:rsidP="00C4739D">
      <w:pPr>
        <w:pStyle w:val="Geenafstand"/>
      </w:pPr>
      <w:r w:rsidRPr="00F64942">
        <w:t>Dyslectische leerlingen in het voortgezet onderwijs hebben problemen met:</w:t>
      </w:r>
    </w:p>
    <w:p w14:paraId="7DAE2C58" w14:textId="77777777" w:rsidR="00557B43" w:rsidRPr="00F64942" w:rsidRDefault="00557B43" w:rsidP="00C4739D">
      <w:pPr>
        <w:pStyle w:val="Geenafstand"/>
        <w:numPr>
          <w:ilvl w:val="0"/>
          <w:numId w:val="3"/>
        </w:numPr>
      </w:pPr>
      <w:r w:rsidRPr="00F64942">
        <w:t>lezen en/of spellen in het Nederlands en in de moderne vreemde talen (nieuwe klank-tekenkoppelingen, ingewikkelde spellingsafspraken);</w:t>
      </w:r>
    </w:p>
    <w:p w14:paraId="1DE8231B" w14:textId="77777777" w:rsidR="00557B43" w:rsidRPr="00F64942" w:rsidRDefault="00557B43" w:rsidP="00C4739D">
      <w:pPr>
        <w:pStyle w:val="Geenafstand"/>
        <w:numPr>
          <w:ilvl w:val="0"/>
          <w:numId w:val="3"/>
        </w:numPr>
      </w:pPr>
      <w:r w:rsidRPr="00F64942">
        <w:t>het snel en accuraat lezen van teksten bij alle vakken;</w:t>
      </w:r>
    </w:p>
    <w:p w14:paraId="6D979574" w14:textId="77777777" w:rsidR="00557B43" w:rsidRPr="00F64942" w:rsidRDefault="00557B43" w:rsidP="00C4739D">
      <w:pPr>
        <w:pStyle w:val="Geenafstand"/>
        <w:numPr>
          <w:ilvl w:val="0"/>
          <w:numId w:val="3"/>
        </w:numPr>
      </w:pPr>
      <w:r w:rsidRPr="00F64942">
        <w:t>het snel en accuraat spellen bij functioneel schrijven bij alle vakken.</w:t>
      </w:r>
    </w:p>
    <w:p w14:paraId="6B4D6A64" w14:textId="77777777" w:rsidR="00557B43" w:rsidRPr="00F64942" w:rsidRDefault="00557B43" w:rsidP="00C4739D">
      <w:pPr>
        <w:pStyle w:val="Geenafstand"/>
        <w:ind w:left="720"/>
      </w:pPr>
      <w:r w:rsidRPr="00F64942">
        <w:t>(Uit: Protocol Dyslexie VO )</w:t>
      </w:r>
    </w:p>
    <w:p w14:paraId="13F763DC" w14:textId="77777777" w:rsidR="00557B43" w:rsidRPr="00F64942" w:rsidRDefault="00557B43" w:rsidP="00557B43">
      <w:pPr>
        <w:rPr>
          <w:rFonts w:ascii="AvenirNext LT Pro Regular" w:hAnsi="AvenirNext LT Pro Regular" w:cs="Arial"/>
          <w:sz w:val="24"/>
          <w:szCs w:val="24"/>
        </w:rPr>
      </w:pPr>
      <w:r w:rsidRPr="00F64942">
        <w:rPr>
          <w:rFonts w:ascii="AvenirNext LT Pro Regular" w:hAnsi="AvenirNext LT Pro Regular" w:cs="Arial"/>
          <w:sz w:val="24"/>
          <w:szCs w:val="24"/>
        </w:rPr>
        <w:br w:type="page"/>
      </w:r>
    </w:p>
    <w:p w14:paraId="14BEA732" w14:textId="77777777" w:rsidR="00557B43" w:rsidRPr="00C4739D" w:rsidRDefault="00557B43" w:rsidP="00C4739D">
      <w:pPr>
        <w:pStyle w:val="Kop1"/>
      </w:pPr>
      <w:bookmarkStart w:id="1" w:name="_Toc125284589"/>
      <w:r w:rsidRPr="00C4739D">
        <w:lastRenderedPageBreak/>
        <w:t>Wat biedt het HVC?</w:t>
      </w:r>
      <w:bookmarkEnd w:id="1"/>
    </w:p>
    <w:p w14:paraId="60465956" w14:textId="1D7D53B4" w:rsidR="00557B43" w:rsidRPr="00F64942" w:rsidRDefault="00204732" w:rsidP="00C4739D">
      <w:pPr>
        <w:pStyle w:val="Kop2"/>
      </w:pPr>
      <w:bookmarkStart w:id="2" w:name="_Toc125284590"/>
      <w:r>
        <w:t>Faciliteitenkaart Dyslexie</w:t>
      </w:r>
      <w:bookmarkEnd w:id="2"/>
    </w:p>
    <w:p w14:paraId="05DE1E60" w14:textId="77777777" w:rsidR="00557B43" w:rsidRPr="00C4739D" w:rsidRDefault="00557B43" w:rsidP="00C4739D">
      <w:pPr>
        <w:pStyle w:val="Geenafstand"/>
      </w:pPr>
      <w:r w:rsidRPr="00C4739D">
        <w:t xml:space="preserve">Als een leerling in bezit is van een officiële  dyslexieverklaring wordt een dyslexiepas afgegeven. Met deze pas heeft een leerling recht op een aantal nader af te spreken aanpassingen zoals: </w:t>
      </w:r>
    </w:p>
    <w:p w14:paraId="353FEC18" w14:textId="77777777" w:rsidR="00557B43" w:rsidRPr="00C4739D" w:rsidRDefault="00557B43" w:rsidP="00C4739D">
      <w:pPr>
        <w:pStyle w:val="Geenafstand"/>
        <w:numPr>
          <w:ilvl w:val="0"/>
          <w:numId w:val="4"/>
        </w:numPr>
      </w:pPr>
      <w:r w:rsidRPr="00C4739D">
        <w:t>extra tijd bij toetsen en examens</w:t>
      </w:r>
    </w:p>
    <w:p w14:paraId="7051166E" w14:textId="77777777" w:rsidR="00557B43" w:rsidRPr="00C4739D" w:rsidRDefault="00557B43" w:rsidP="00C4739D">
      <w:pPr>
        <w:pStyle w:val="Geenafstand"/>
        <w:numPr>
          <w:ilvl w:val="0"/>
          <w:numId w:val="4"/>
        </w:numPr>
      </w:pPr>
      <w:r w:rsidRPr="00C4739D">
        <w:t>daar waar mogelijk en toegestaan aangepaste beoordeling van spelfouten.</w:t>
      </w:r>
    </w:p>
    <w:p w14:paraId="71D65F43" w14:textId="518F39DC" w:rsidR="00557B43" w:rsidRPr="00C4739D" w:rsidRDefault="00204732" w:rsidP="00C4739D">
      <w:pPr>
        <w:pStyle w:val="Geenafstand"/>
        <w:numPr>
          <w:ilvl w:val="0"/>
          <w:numId w:val="4"/>
        </w:numPr>
      </w:pPr>
      <w:r>
        <w:t xml:space="preserve">digitale </w:t>
      </w:r>
      <w:r w:rsidR="00557B43" w:rsidRPr="00C4739D">
        <w:t>ondersteuningsmiddelen</w:t>
      </w:r>
    </w:p>
    <w:p w14:paraId="48117D5C" w14:textId="1AB4BE97" w:rsidR="00557B43" w:rsidRPr="00C4739D" w:rsidRDefault="00204732" w:rsidP="00C4739D">
      <w:pPr>
        <w:pStyle w:val="Geenafstand"/>
        <w:numPr>
          <w:ilvl w:val="0"/>
          <w:numId w:val="4"/>
        </w:numPr>
      </w:pPr>
      <w:r>
        <w:t>o</w:t>
      </w:r>
      <w:r w:rsidR="00557B43" w:rsidRPr="00C4739D">
        <w:t>ok krijgt de leerling een dyslexiecoach toegewezen.</w:t>
      </w:r>
    </w:p>
    <w:p w14:paraId="794823B0" w14:textId="77777777" w:rsidR="0023416C" w:rsidRDefault="0023416C" w:rsidP="00C4739D">
      <w:pPr>
        <w:pStyle w:val="Kop2"/>
      </w:pPr>
    </w:p>
    <w:p w14:paraId="6202FB2D" w14:textId="445E8604" w:rsidR="00557B43" w:rsidRPr="00F64942" w:rsidRDefault="00557B43" w:rsidP="00C4739D">
      <w:pPr>
        <w:pStyle w:val="Kop2"/>
      </w:pPr>
      <w:bookmarkStart w:id="3" w:name="_Toc125284591"/>
      <w:r w:rsidRPr="00F64942">
        <w:t>De dyslexiecoach</w:t>
      </w:r>
      <w:bookmarkEnd w:id="3"/>
    </w:p>
    <w:p w14:paraId="276AD580" w14:textId="77777777" w:rsidR="00557B43" w:rsidRPr="00F64942" w:rsidRDefault="00557B43" w:rsidP="00C4739D">
      <w:pPr>
        <w:pStyle w:val="Geenafstand"/>
      </w:pPr>
      <w:r w:rsidRPr="00F64942">
        <w:t>Dit is een docent die als coach verbonden is aan een dyslectische leerling. Elk team heeft een dyslexiecoach. Het doel van de coaching is de leerling zo zelfstandig mogelijk om te leren gaan met dyslexie. De coach kan ondersteunen bij vragen of problemen over dyslexie. Er is geen sprake van individuele bijles.</w:t>
      </w:r>
    </w:p>
    <w:p w14:paraId="488D5568" w14:textId="77777777" w:rsidR="00C4739D" w:rsidRDefault="00C4739D" w:rsidP="00C4739D">
      <w:pPr>
        <w:pStyle w:val="Geenafstand"/>
      </w:pPr>
    </w:p>
    <w:p w14:paraId="711262AD" w14:textId="77777777" w:rsidR="00557B43" w:rsidRPr="00F64942" w:rsidRDefault="00557B43" w:rsidP="00C4739D">
      <w:pPr>
        <w:pStyle w:val="Geenafstand"/>
      </w:pPr>
      <w:r w:rsidRPr="00F64942">
        <w:t>Ook adviseert de coach het team van docenten in het zo goed mogelijk leren omgaan met dyslectische leerlingen.</w:t>
      </w:r>
    </w:p>
    <w:p w14:paraId="34A5EC70" w14:textId="79DDB303" w:rsidR="00557B43" w:rsidRPr="00F64942" w:rsidRDefault="00204732" w:rsidP="00C4739D">
      <w:pPr>
        <w:pStyle w:val="Kop2"/>
      </w:pPr>
      <w:bookmarkStart w:id="4" w:name="_Toc125284592"/>
      <w:r>
        <w:lastRenderedPageBreak/>
        <w:t>Digitale dyslexie ondersteuning</w:t>
      </w:r>
      <w:bookmarkEnd w:id="4"/>
    </w:p>
    <w:p w14:paraId="5C6C6771" w14:textId="25E0B01E" w:rsidR="00557B43" w:rsidRPr="00F64942" w:rsidRDefault="00557B43" w:rsidP="00C4739D">
      <w:pPr>
        <w:pStyle w:val="Geenafstand"/>
      </w:pPr>
      <w:r w:rsidRPr="00F64942">
        <w:t xml:space="preserve">Het HVC biedt leerlingen die in het bezit zijn van een officiële dyslexieverklaring, de mogelijkheid om tijdens lessen en thuis te werken met ondersteunende </w:t>
      </w:r>
      <w:r w:rsidR="003F73C6">
        <w:t>middelen.</w:t>
      </w:r>
    </w:p>
    <w:p w14:paraId="45C94353" w14:textId="77777777" w:rsidR="00C4739D" w:rsidRDefault="00C4739D" w:rsidP="00C4739D">
      <w:pPr>
        <w:pStyle w:val="Geenafstand"/>
      </w:pPr>
    </w:p>
    <w:p w14:paraId="26CBD934" w14:textId="23E69A32" w:rsidR="00557B43" w:rsidRPr="00F64942" w:rsidRDefault="00557B43" w:rsidP="00204732">
      <w:pPr>
        <w:pStyle w:val="Geenafstand"/>
      </w:pPr>
      <w:r w:rsidRPr="00F64942">
        <w:t xml:space="preserve">Op de afdeling </w:t>
      </w:r>
      <w:r w:rsidRPr="00F64942">
        <w:rPr>
          <w:b/>
        </w:rPr>
        <w:t>VMBO (B/K)</w:t>
      </w:r>
      <w:r w:rsidRPr="00F64942">
        <w:t xml:space="preserve"> en </w:t>
      </w:r>
      <w:r w:rsidRPr="00F64942">
        <w:rPr>
          <w:b/>
        </w:rPr>
        <w:t>MAVO</w:t>
      </w:r>
      <w:r w:rsidRPr="00F64942">
        <w:t xml:space="preserve"> </w:t>
      </w:r>
      <w:r w:rsidR="00204732">
        <w:t xml:space="preserve">wordt gewerkt met een laptop. Het is mogelijk digitale dyslexie ondersteuning aan te vragen zoals het voor laten lezen van </w:t>
      </w:r>
      <w:r w:rsidR="004F1379">
        <w:t>lesmateriaal</w:t>
      </w:r>
      <w:r w:rsidR="00204732">
        <w:t xml:space="preserve"> en toetsen.</w:t>
      </w:r>
    </w:p>
    <w:p w14:paraId="75585B28" w14:textId="77777777" w:rsidR="00C4739D" w:rsidRDefault="00C4739D" w:rsidP="00C4739D">
      <w:pPr>
        <w:pStyle w:val="Geenafstand"/>
      </w:pPr>
    </w:p>
    <w:p w14:paraId="1788A145" w14:textId="66F6547C" w:rsidR="00557B43" w:rsidRDefault="00557B43" w:rsidP="00C4739D">
      <w:pPr>
        <w:pStyle w:val="Geenafstand"/>
      </w:pPr>
      <w:r w:rsidRPr="00F64942">
        <w:t xml:space="preserve">Op de afdeling </w:t>
      </w:r>
      <w:r w:rsidRPr="00F64942">
        <w:rPr>
          <w:b/>
        </w:rPr>
        <w:t>HAVO en VWO</w:t>
      </w:r>
      <w:r w:rsidRPr="00F64942">
        <w:t xml:space="preserve"> bieden wij alleen extra ondersteuning via de iPad.</w:t>
      </w:r>
      <w:r w:rsidR="00204732">
        <w:t xml:space="preserve"> </w:t>
      </w:r>
      <w:r w:rsidRPr="00F64942">
        <w:t xml:space="preserve">Voor de iPad zijn </w:t>
      </w:r>
      <w:r w:rsidR="00C4739D">
        <w:t>er meerdere ondersteuningsmogel</w:t>
      </w:r>
      <w:r w:rsidRPr="00F64942">
        <w:t>i</w:t>
      </w:r>
      <w:r w:rsidR="00C4739D">
        <w:t>j</w:t>
      </w:r>
      <w:r w:rsidRPr="00F64942">
        <w:t xml:space="preserve">kheden via de standaard voorleesfunctie en verschillende Apps. </w:t>
      </w:r>
    </w:p>
    <w:p w14:paraId="3255720C" w14:textId="77777777" w:rsidR="00204732" w:rsidRPr="00F64942" w:rsidRDefault="00204732" w:rsidP="00204732">
      <w:pPr>
        <w:pStyle w:val="Geenafstand"/>
      </w:pPr>
      <w:r>
        <w:t>Ook bestaat er de mogelijkheid om toetsen voor te laten lezen. Dit gaat op aanvraag.</w:t>
      </w:r>
      <w:r w:rsidRPr="00F64942">
        <w:t xml:space="preserve"> </w:t>
      </w:r>
    </w:p>
    <w:p w14:paraId="5A2E03D2" w14:textId="1304F946" w:rsidR="00204732" w:rsidRDefault="00204732" w:rsidP="00C4739D">
      <w:pPr>
        <w:pStyle w:val="Geenafstand"/>
      </w:pPr>
    </w:p>
    <w:p w14:paraId="40DBADC6" w14:textId="20CFB3E3" w:rsidR="00204732" w:rsidRPr="00F64942" w:rsidRDefault="00204732" w:rsidP="00C4739D">
      <w:pPr>
        <w:pStyle w:val="Geenafstand"/>
      </w:pPr>
      <w:r>
        <w:t>Elk jaar worden nieuwe ouders nog voor de zomervakantie uitgenodigd voor een informatieavond over de mogelijkheden van digitale dyslexieondersteuning.</w:t>
      </w:r>
    </w:p>
    <w:p w14:paraId="4C0A2010" w14:textId="77777777" w:rsidR="0039190F" w:rsidRDefault="0039190F">
      <w:pPr>
        <w:spacing w:after="160" w:line="259" w:lineRule="auto"/>
        <w:rPr>
          <w:rFonts w:ascii="AvenirNext LT Pro Regular" w:eastAsiaTheme="majorEastAsia" w:hAnsi="AvenirNext LT Pro Regular" w:cstheme="majorBidi"/>
          <w:b/>
          <w:color w:val="006666"/>
          <w:sz w:val="56"/>
          <w:szCs w:val="32"/>
          <w:u w:val="single"/>
        </w:rPr>
      </w:pPr>
      <w:bookmarkStart w:id="5" w:name="_Toc125284593"/>
      <w:r>
        <w:br w:type="page"/>
      </w:r>
    </w:p>
    <w:p w14:paraId="6F9F8298" w14:textId="1C037772" w:rsidR="00557B43" w:rsidRPr="00C4739D" w:rsidRDefault="00557B43" w:rsidP="00C4739D">
      <w:pPr>
        <w:pStyle w:val="Kop1"/>
      </w:pPr>
      <w:r w:rsidRPr="00C4739D">
        <w:lastRenderedPageBreak/>
        <w:t>Meer informatie</w:t>
      </w:r>
      <w:bookmarkEnd w:id="5"/>
    </w:p>
    <w:p w14:paraId="5561F9B4" w14:textId="6A9FE3A0" w:rsidR="00557B43" w:rsidRPr="00F64942" w:rsidRDefault="00557B43" w:rsidP="00C4739D">
      <w:pPr>
        <w:pStyle w:val="Geenafstand"/>
      </w:pPr>
      <w:r w:rsidRPr="00F64942">
        <w:t xml:space="preserve">Indien u meer informatie wilt kunt u contact opnemen met de </w:t>
      </w:r>
      <w:r w:rsidR="008C2297">
        <w:t xml:space="preserve">dyslexiecoördinator, mevrouw </w:t>
      </w:r>
      <w:r w:rsidR="00505017">
        <w:t xml:space="preserve">M. </w:t>
      </w:r>
      <w:r w:rsidR="008C2297">
        <w:t>Azimi of de orthopedagoog</w:t>
      </w:r>
      <w:r w:rsidRPr="00F64942">
        <w:t xml:space="preserve"> van het HVC, mevrouw </w:t>
      </w:r>
      <w:r w:rsidR="00505017">
        <w:t>D. van der Voort</w:t>
      </w:r>
    </w:p>
    <w:p w14:paraId="68253623" w14:textId="07C60978" w:rsidR="006C4BD8" w:rsidRPr="0039190F" w:rsidRDefault="006C4BD8" w:rsidP="006C4BD8">
      <w:pPr>
        <w:pStyle w:val="Geenafstand"/>
        <w:rPr>
          <w:rFonts w:cs="Arial"/>
          <w:szCs w:val="40"/>
          <w:lang w:val="en-GB"/>
        </w:rPr>
      </w:pPr>
      <w:r w:rsidRPr="0039190F">
        <w:rPr>
          <w:lang w:val="en-GB"/>
        </w:rPr>
        <w:t xml:space="preserve">Email: </w:t>
      </w:r>
      <w:hyperlink r:id="rId15" w:history="1">
        <w:r w:rsidR="00505017" w:rsidRPr="0039190F">
          <w:rPr>
            <w:rStyle w:val="Hyperlink"/>
            <w:rFonts w:cs="Arial"/>
            <w:szCs w:val="40"/>
            <w:lang w:val="en-GB"/>
          </w:rPr>
          <w:t>m.azimi@hvc.nl</w:t>
        </w:r>
      </w:hyperlink>
      <w:r w:rsidR="00505017" w:rsidRPr="0039190F">
        <w:rPr>
          <w:rFonts w:cs="Arial"/>
          <w:szCs w:val="40"/>
          <w:lang w:val="en-GB"/>
        </w:rPr>
        <w:t xml:space="preserve"> of </w:t>
      </w:r>
      <w:r w:rsidR="00505017" w:rsidRPr="0039190F">
        <w:rPr>
          <w:rStyle w:val="Hyperlink"/>
          <w:lang w:val="en-GB"/>
        </w:rPr>
        <w:t>d.</w:t>
      </w:r>
      <w:r>
        <w:rPr>
          <w:rFonts w:cs="Arial"/>
          <w:szCs w:val="40"/>
        </w:rPr>
        <w:fldChar w:fldCharType="begin"/>
      </w:r>
      <w:r w:rsidRPr="0039190F">
        <w:rPr>
          <w:rFonts w:cs="Arial"/>
          <w:szCs w:val="40"/>
          <w:lang w:val="en-GB"/>
        </w:rPr>
        <w:instrText>HYPERLINK "mailto:vandervoort@hvc.nl</w:instrText>
      </w:r>
    </w:p>
    <w:p w14:paraId="769ABCD8" w14:textId="77777777" w:rsidR="006C4BD8" w:rsidRPr="006C4BD8" w:rsidRDefault="006C4BD8" w:rsidP="006C4BD8">
      <w:pPr>
        <w:pStyle w:val="Geenafstand"/>
        <w:ind w:left="1068"/>
      </w:pPr>
    </w:p>
    <w:p w14:paraId="294BAC65" w14:textId="77777777" w:rsidR="006C4BD8" w:rsidRPr="00623C43" w:rsidRDefault="006C4BD8" w:rsidP="00505017">
      <w:pPr>
        <w:pStyle w:val="Geenafstand"/>
        <w:numPr>
          <w:ilvl w:val="0"/>
          <w:numId w:val="5"/>
        </w:numPr>
        <w:rPr>
          <w:rStyle w:val="Hyperlink"/>
          <w:rFonts w:cs="Arial"/>
          <w:szCs w:val="40"/>
        </w:rPr>
      </w:pPr>
      <w:r>
        <w:rPr>
          <w:rFonts w:cs="Arial"/>
          <w:szCs w:val="40"/>
        </w:rPr>
        <w:instrText>"</w:instrText>
      </w:r>
      <w:r>
        <w:rPr>
          <w:rFonts w:cs="Arial"/>
          <w:szCs w:val="40"/>
        </w:rPr>
      </w:r>
      <w:r>
        <w:rPr>
          <w:rFonts w:cs="Arial"/>
          <w:szCs w:val="40"/>
        </w:rPr>
        <w:fldChar w:fldCharType="separate"/>
      </w:r>
      <w:r w:rsidRPr="00623C43">
        <w:rPr>
          <w:rStyle w:val="Hyperlink"/>
          <w:rFonts w:cs="Arial"/>
          <w:szCs w:val="40"/>
        </w:rPr>
        <w:t>vandervoort@hvc.nl</w:t>
      </w:r>
    </w:p>
    <w:p w14:paraId="57217755" w14:textId="77777777" w:rsidR="006C4BD8" w:rsidRPr="00623C43" w:rsidRDefault="006C4BD8" w:rsidP="006C4BD8">
      <w:pPr>
        <w:pStyle w:val="Geenafstand"/>
        <w:ind w:left="1068"/>
        <w:rPr>
          <w:rStyle w:val="Hyperlink"/>
        </w:rPr>
      </w:pPr>
    </w:p>
    <w:p w14:paraId="2465AAA1" w14:textId="39EBCD26" w:rsidR="00557B43" w:rsidRPr="00F64942" w:rsidRDefault="006C4BD8" w:rsidP="00A01D01">
      <w:pPr>
        <w:jc w:val="center"/>
        <w:rPr>
          <w:rFonts w:ascii="AvenirNext LT Pro Regular" w:hAnsi="AvenirNext LT Pro Regular" w:cs="Arial"/>
          <w:sz w:val="24"/>
          <w:szCs w:val="24"/>
        </w:rPr>
      </w:pPr>
      <w:r>
        <w:rPr>
          <w:rFonts w:cs="Arial"/>
          <w:szCs w:val="40"/>
        </w:rPr>
        <w:fldChar w:fldCharType="end"/>
      </w:r>
      <w:r w:rsidR="00557B43" w:rsidRPr="00F64942">
        <w:rPr>
          <w:rFonts w:ascii="AvenirNext LT Pro Regular" w:eastAsia="Times New Roman" w:hAnsi="AvenirNext LT Pro Regular"/>
          <w:noProof/>
          <w:lang w:eastAsia="nl-NL"/>
        </w:rPr>
        <w:drawing>
          <wp:inline distT="0" distB="0" distL="0" distR="0" wp14:anchorId="71A5AB31" wp14:editId="7BA578CC">
            <wp:extent cx="5100810" cy="3589954"/>
            <wp:effectExtent l="0" t="0" r="5080" b="0"/>
            <wp:docPr id="1" name="Afbeelding 1" descr="cid:1953524C-EC08-4A7B-B4D9-CC818D08A7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9E25D5-666F-4084-9CF2-575ED3E9CED1" descr="cid:1953524C-EC08-4A7B-B4D9-CC818D08A7E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154818" cy="3627965"/>
                    </a:xfrm>
                    <a:prstGeom prst="rect">
                      <a:avLst/>
                    </a:prstGeom>
                    <a:noFill/>
                    <a:ln>
                      <a:noFill/>
                    </a:ln>
                  </pic:spPr>
                </pic:pic>
              </a:graphicData>
            </a:graphic>
          </wp:inline>
        </w:drawing>
      </w:r>
    </w:p>
    <w:p w14:paraId="6B4F9BE2" w14:textId="77777777" w:rsidR="00A01D01" w:rsidRDefault="00A01D01" w:rsidP="00A01D01">
      <w:pPr>
        <w:jc w:val="center"/>
        <w:rPr>
          <w:rFonts w:ascii="AvenirNext LT Pro Regular" w:hAnsi="AvenirNext LT Pro Regular" w:cs="Arial"/>
          <w:sz w:val="40"/>
          <w:szCs w:val="40"/>
        </w:rPr>
      </w:pPr>
    </w:p>
    <w:p w14:paraId="681C0C2F" w14:textId="388532B5" w:rsidR="00557B43" w:rsidRPr="00A01D01" w:rsidRDefault="00557B43" w:rsidP="00A01D01">
      <w:pPr>
        <w:jc w:val="center"/>
        <w:rPr>
          <w:rFonts w:ascii="AvenirNext LT Pro Regular" w:hAnsi="AvenirNext LT Pro Regular" w:cs="Arial"/>
          <w:sz w:val="40"/>
          <w:szCs w:val="40"/>
        </w:rPr>
      </w:pPr>
      <w:r w:rsidRPr="00A01D01">
        <w:rPr>
          <w:rFonts w:ascii="AvenirNext LT Pro Regular" w:hAnsi="AvenirNext LT Pro Regular" w:cs="Arial"/>
          <w:sz w:val="40"/>
          <w:szCs w:val="40"/>
        </w:rPr>
        <w:t>Het Herbert Vissers College is een IRIS school</w:t>
      </w:r>
    </w:p>
    <w:p w14:paraId="170C543F" w14:textId="4F8A614D" w:rsidR="00A01D01" w:rsidRDefault="0039190F" w:rsidP="00A01D01">
      <w:pPr>
        <w:spacing w:line="240" w:lineRule="auto"/>
        <w:jc w:val="center"/>
        <w:rPr>
          <w:rFonts w:ascii="AvenirNext LT Pro Regular" w:hAnsi="AvenirNext LT Pro Regular" w:cs="Arial"/>
          <w:sz w:val="40"/>
          <w:szCs w:val="40"/>
        </w:rPr>
      </w:pPr>
      <w:r w:rsidRPr="00A01D01">
        <w:rPr>
          <w:rFonts w:ascii="AvenirNext LT Pro Regular" w:hAnsi="AvenirNext LT Pro Regular" w:cs="Arial"/>
          <w:noProof/>
          <w:sz w:val="40"/>
          <w:szCs w:val="40"/>
          <w:lang w:eastAsia="nl-NL"/>
        </w:rPr>
        <w:drawing>
          <wp:anchor distT="0" distB="0" distL="114300" distR="114300" simplePos="0" relativeHeight="251659264" behindDoc="0" locked="0" layoutInCell="1" allowOverlap="1" wp14:anchorId="16183002" wp14:editId="683E51C7">
            <wp:simplePos x="0" y="0"/>
            <wp:positionH relativeFrom="margin">
              <wp:posOffset>307328</wp:posOffset>
            </wp:positionH>
            <wp:positionV relativeFrom="paragraph">
              <wp:posOffset>24430</wp:posOffset>
            </wp:positionV>
            <wp:extent cx="741680" cy="1565910"/>
            <wp:effectExtent l="0" t="0" r="127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log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1680" cy="1565910"/>
                    </a:xfrm>
                    <a:prstGeom prst="rect">
                      <a:avLst/>
                    </a:prstGeom>
                  </pic:spPr>
                </pic:pic>
              </a:graphicData>
            </a:graphic>
            <wp14:sizeRelH relativeFrom="page">
              <wp14:pctWidth>0</wp14:pctWidth>
            </wp14:sizeRelH>
            <wp14:sizeRelV relativeFrom="page">
              <wp14:pctHeight>0</wp14:pctHeight>
            </wp14:sizeRelV>
          </wp:anchor>
        </w:drawing>
      </w:r>
    </w:p>
    <w:p w14:paraId="4F08C150" w14:textId="77777777" w:rsidR="00557B43" w:rsidRPr="00A01D01" w:rsidRDefault="00557B43" w:rsidP="0039190F">
      <w:pPr>
        <w:spacing w:line="240" w:lineRule="auto"/>
        <w:rPr>
          <w:rFonts w:ascii="AvenirNext LT Pro Regular" w:hAnsi="AvenirNext LT Pro Regular" w:cs="Arial"/>
          <w:sz w:val="40"/>
          <w:szCs w:val="40"/>
        </w:rPr>
      </w:pPr>
      <w:r w:rsidRPr="00A01D01">
        <w:rPr>
          <w:rFonts w:ascii="AvenirNext LT Pro Regular" w:hAnsi="AvenirNext LT Pro Regular" w:cs="Arial"/>
          <w:sz w:val="40"/>
          <w:szCs w:val="40"/>
        </w:rPr>
        <w:t>www.stichtingiris.nl</w:t>
      </w:r>
    </w:p>
    <w:p w14:paraId="1DECFE65" w14:textId="028F53B1" w:rsidR="00557B43" w:rsidRPr="00A01D01" w:rsidRDefault="00557B43" w:rsidP="00A01D01">
      <w:pPr>
        <w:jc w:val="center"/>
        <w:rPr>
          <w:sz w:val="40"/>
          <w:szCs w:val="40"/>
        </w:rPr>
      </w:pPr>
    </w:p>
    <w:sectPr w:rsidR="00557B43" w:rsidRPr="00A01D01" w:rsidSect="00A01D01">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79D3" w14:textId="77777777" w:rsidR="008479E3" w:rsidRDefault="008479E3" w:rsidP="00557B43">
      <w:pPr>
        <w:spacing w:after="0" w:line="240" w:lineRule="auto"/>
      </w:pPr>
      <w:r>
        <w:separator/>
      </w:r>
    </w:p>
  </w:endnote>
  <w:endnote w:type="continuationSeparator" w:id="0">
    <w:p w14:paraId="16737622" w14:textId="77777777" w:rsidR="008479E3" w:rsidRDefault="008479E3" w:rsidP="0055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AvenirNext LT Pro Regular" w:eastAsiaTheme="majorEastAsia" w:hAnsi="AvenirNext LT Pro Regular" w:cstheme="majorBidi"/>
          <w:color w:val="006666"/>
          <w:sz w:val="32"/>
          <w:szCs w:val="32"/>
        </w:rPr>
        <w:id w:val="775061992"/>
        <w:docPartObj>
          <w:docPartGallery w:val="Page Numbers (Bottom of Page)"/>
          <w:docPartUnique/>
        </w:docPartObj>
      </w:sdtPr>
      <w:sdtEndPr>
        <w:rPr>
          <w:rFonts w:eastAsiaTheme="minorHAnsi" w:cstheme="minorBidi"/>
        </w:rPr>
      </w:sdtEndPr>
      <w:sdtContent>
        <w:tr w:rsidR="00557B43" w14:paraId="21B3F722" w14:textId="77777777" w:rsidTr="00476985">
          <w:trPr>
            <w:trHeight w:val="727"/>
          </w:trPr>
          <w:tc>
            <w:tcPr>
              <w:tcW w:w="4000" w:type="pct"/>
              <w:tcBorders>
                <w:right w:val="triple" w:sz="4" w:space="0" w:color="5B9BD5" w:themeColor="accent1"/>
              </w:tcBorders>
            </w:tcPr>
            <w:p w14:paraId="7350CE97" w14:textId="77777777" w:rsidR="00557B43" w:rsidRPr="00BA5A33" w:rsidRDefault="00557B43" w:rsidP="00557B43">
              <w:pPr>
                <w:tabs>
                  <w:tab w:val="left" w:pos="620"/>
                  <w:tab w:val="center" w:pos="4320"/>
                </w:tabs>
                <w:rPr>
                  <w:rFonts w:ascii="AvenirNext LT Pro Regular" w:eastAsiaTheme="majorEastAsia" w:hAnsi="AvenirNext LT Pro Regular" w:cstheme="majorBidi"/>
                  <w:color w:val="006666"/>
                  <w:sz w:val="32"/>
                  <w:szCs w:val="32"/>
                </w:rPr>
              </w:pPr>
              <w:r w:rsidRPr="00BA5A33">
                <w:rPr>
                  <w:rFonts w:ascii="AvenirNext LT Pro Regular" w:hAnsi="AvenirNext LT Pro Regular" w:cs="Arial"/>
                  <w:color w:val="006666"/>
                  <w:sz w:val="32"/>
                  <w:szCs w:val="32"/>
                </w:rPr>
                <w:t>Begeleiding van dyslexie</w:t>
              </w:r>
            </w:p>
          </w:tc>
          <w:tc>
            <w:tcPr>
              <w:tcW w:w="1000" w:type="pct"/>
              <w:tcBorders>
                <w:left w:val="triple" w:sz="4" w:space="0" w:color="5B9BD5" w:themeColor="accent1"/>
              </w:tcBorders>
            </w:tcPr>
            <w:p w14:paraId="7E125E2E" w14:textId="3CF71470" w:rsidR="00557B43" w:rsidRPr="00BA5A33" w:rsidRDefault="00557B43" w:rsidP="00557B43">
              <w:pPr>
                <w:tabs>
                  <w:tab w:val="left" w:pos="1490"/>
                </w:tabs>
                <w:rPr>
                  <w:rFonts w:ascii="AvenirNext LT Pro Regular" w:eastAsiaTheme="majorEastAsia" w:hAnsi="AvenirNext LT Pro Regular" w:cstheme="majorBidi"/>
                  <w:color w:val="006666"/>
                  <w:sz w:val="32"/>
                  <w:szCs w:val="32"/>
                </w:rPr>
              </w:pPr>
              <w:r w:rsidRPr="00BA5A33">
                <w:rPr>
                  <w:rFonts w:ascii="AvenirNext LT Pro Regular" w:hAnsi="AvenirNext LT Pro Regular"/>
                  <w:color w:val="006666"/>
                  <w:sz w:val="32"/>
                  <w:szCs w:val="32"/>
                </w:rPr>
                <w:fldChar w:fldCharType="begin"/>
              </w:r>
              <w:r w:rsidRPr="00BA5A33">
                <w:rPr>
                  <w:rFonts w:ascii="AvenirNext LT Pro Regular" w:hAnsi="AvenirNext LT Pro Regular"/>
                  <w:color w:val="006666"/>
                  <w:sz w:val="32"/>
                  <w:szCs w:val="32"/>
                </w:rPr>
                <w:instrText>PAGE    \* MERGEFORMAT</w:instrText>
              </w:r>
              <w:r w:rsidRPr="00BA5A33">
                <w:rPr>
                  <w:rFonts w:ascii="AvenirNext LT Pro Regular" w:hAnsi="AvenirNext LT Pro Regular"/>
                  <w:color w:val="006666"/>
                  <w:sz w:val="32"/>
                  <w:szCs w:val="32"/>
                </w:rPr>
                <w:fldChar w:fldCharType="separate"/>
              </w:r>
              <w:r w:rsidR="003F73C6">
                <w:rPr>
                  <w:rFonts w:ascii="AvenirNext LT Pro Regular" w:hAnsi="AvenirNext LT Pro Regular"/>
                  <w:noProof/>
                  <w:color w:val="006666"/>
                  <w:sz w:val="32"/>
                  <w:szCs w:val="32"/>
                </w:rPr>
                <w:t>4</w:t>
              </w:r>
              <w:r w:rsidRPr="00BA5A33">
                <w:rPr>
                  <w:rFonts w:ascii="AvenirNext LT Pro Regular" w:hAnsi="AvenirNext LT Pro Regular"/>
                  <w:color w:val="006666"/>
                  <w:sz w:val="32"/>
                  <w:szCs w:val="32"/>
                </w:rPr>
                <w:fldChar w:fldCharType="end"/>
              </w:r>
            </w:p>
          </w:tc>
        </w:tr>
      </w:sdtContent>
    </w:sdt>
  </w:tbl>
  <w:p w14:paraId="101CA6E6" w14:textId="77777777" w:rsidR="00557B43" w:rsidRDefault="00557B43" w:rsidP="00557B43">
    <w:pPr>
      <w:pStyle w:val="Voettekst"/>
      <w:rPr>
        <w:rFonts w:ascii="Arial" w:hAnsi="Arial" w:cs="Arial"/>
        <w:sz w:val="16"/>
        <w:szCs w:val="16"/>
      </w:rPr>
    </w:pPr>
  </w:p>
  <w:p w14:paraId="363B8D56" w14:textId="77777777" w:rsidR="00557B43" w:rsidRDefault="00557B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67E4" w14:textId="77777777" w:rsidR="008479E3" w:rsidRDefault="008479E3" w:rsidP="00557B43">
      <w:pPr>
        <w:spacing w:after="0" w:line="240" w:lineRule="auto"/>
      </w:pPr>
      <w:r>
        <w:separator/>
      </w:r>
    </w:p>
  </w:footnote>
  <w:footnote w:type="continuationSeparator" w:id="0">
    <w:p w14:paraId="3494C9F8" w14:textId="77777777" w:rsidR="008479E3" w:rsidRDefault="008479E3" w:rsidP="00557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mail symbool Stockfoto - 991038" style="width:23.1pt;height:21.75pt;visibility:visible;mso-wrap-style:square" o:bullet="t">
        <v:imagedata r:id="rId1" o:title="e-mail symbool Stockfoto - 991038"/>
      </v:shape>
    </w:pict>
  </w:numPicBullet>
  <w:abstractNum w:abstractNumId="0" w15:restartNumberingAfterBreak="0">
    <w:nsid w:val="4EE62091"/>
    <w:multiLevelType w:val="hybridMultilevel"/>
    <w:tmpl w:val="06F66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8577B5"/>
    <w:multiLevelType w:val="hybridMultilevel"/>
    <w:tmpl w:val="3892A9C0"/>
    <w:lvl w:ilvl="0" w:tplc="C00E87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9A0220"/>
    <w:multiLevelType w:val="hybridMultilevel"/>
    <w:tmpl w:val="4FE8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CD5338"/>
    <w:multiLevelType w:val="hybridMultilevel"/>
    <w:tmpl w:val="9AAA0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5C70B9"/>
    <w:multiLevelType w:val="hybridMultilevel"/>
    <w:tmpl w:val="8B1047DE"/>
    <w:lvl w:ilvl="0" w:tplc="6040DE6A">
      <w:start w:val="1"/>
      <w:numFmt w:val="bullet"/>
      <w:lvlText w:val=""/>
      <w:lvlPicBulletId w:val="0"/>
      <w:lvlJc w:val="left"/>
      <w:pPr>
        <w:tabs>
          <w:tab w:val="num" w:pos="1068"/>
        </w:tabs>
        <w:ind w:left="1068" w:hanging="360"/>
      </w:pPr>
      <w:rPr>
        <w:rFonts w:ascii="Symbol" w:hAnsi="Symbol" w:hint="default"/>
      </w:rPr>
    </w:lvl>
    <w:lvl w:ilvl="1" w:tplc="36220CF2" w:tentative="1">
      <w:start w:val="1"/>
      <w:numFmt w:val="bullet"/>
      <w:lvlText w:val=""/>
      <w:lvlJc w:val="left"/>
      <w:pPr>
        <w:tabs>
          <w:tab w:val="num" w:pos="2148"/>
        </w:tabs>
        <w:ind w:left="2148" w:hanging="360"/>
      </w:pPr>
      <w:rPr>
        <w:rFonts w:ascii="Symbol" w:hAnsi="Symbol" w:hint="default"/>
      </w:rPr>
    </w:lvl>
    <w:lvl w:ilvl="2" w:tplc="E98AE9D2" w:tentative="1">
      <w:start w:val="1"/>
      <w:numFmt w:val="bullet"/>
      <w:lvlText w:val=""/>
      <w:lvlJc w:val="left"/>
      <w:pPr>
        <w:tabs>
          <w:tab w:val="num" w:pos="2868"/>
        </w:tabs>
        <w:ind w:left="2868" w:hanging="360"/>
      </w:pPr>
      <w:rPr>
        <w:rFonts w:ascii="Symbol" w:hAnsi="Symbol" w:hint="default"/>
      </w:rPr>
    </w:lvl>
    <w:lvl w:ilvl="3" w:tplc="B7549EAC" w:tentative="1">
      <w:start w:val="1"/>
      <w:numFmt w:val="bullet"/>
      <w:lvlText w:val=""/>
      <w:lvlJc w:val="left"/>
      <w:pPr>
        <w:tabs>
          <w:tab w:val="num" w:pos="3588"/>
        </w:tabs>
        <w:ind w:left="3588" w:hanging="360"/>
      </w:pPr>
      <w:rPr>
        <w:rFonts w:ascii="Symbol" w:hAnsi="Symbol" w:hint="default"/>
      </w:rPr>
    </w:lvl>
    <w:lvl w:ilvl="4" w:tplc="D38E9C08" w:tentative="1">
      <w:start w:val="1"/>
      <w:numFmt w:val="bullet"/>
      <w:lvlText w:val=""/>
      <w:lvlJc w:val="left"/>
      <w:pPr>
        <w:tabs>
          <w:tab w:val="num" w:pos="4308"/>
        </w:tabs>
        <w:ind w:left="4308" w:hanging="360"/>
      </w:pPr>
      <w:rPr>
        <w:rFonts w:ascii="Symbol" w:hAnsi="Symbol" w:hint="default"/>
      </w:rPr>
    </w:lvl>
    <w:lvl w:ilvl="5" w:tplc="5AE2FEB2" w:tentative="1">
      <w:start w:val="1"/>
      <w:numFmt w:val="bullet"/>
      <w:lvlText w:val=""/>
      <w:lvlJc w:val="left"/>
      <w:pPr>
        <w:tabs>
          <w:tab w:val="num" w:pos="5028"/>
        </w:tabs>
        <w:ind w:left="5028" w:hanging="360"/>
      </w:pPr>
      <w:rPr>
        <w:rFonts w:ascii="Symbol" w:hAnsi="Symbol" w:hint="default"/>
      </w:rPr>
    </w:lvl>
    <w:lvl w:ilvl="6" w:tplc="A87C11DE" w:tentative="1">
      <w:start w:val="1"/>
      <w:numFmt w:val="bullet"/>
      <w:lvlText w:val=""/>
      <w:lvlJc w:val="left"/>
      <w:pPr>
        <w:tabs>
          <w:tab w:val="num" w:pos="5748"/>
        </w:tabs>
        <w:ind w:left="5748" w:hanging="360"/>
      </w:pPr>
      <w:rPr>
        <w:rFonts w:ascii="Symbol" w:hAnsi="Symbol" w:hint="default"/>
      </w:rPr>
    </w:lvl>
    <w:lvl w:ilvl="7" w:tplc="F4E20B9E" w:tentative="1">
      <w:start w:val="1"/>
      <w:numFmt w:val="bullet"/>
      <w:lvlText w:val=""/>
      <w:lvlJc w:val="left"/>
      <w:pPr>
        <w:tabs>
          <w:tab w:val="num" w:pos="6468"/>
        </w:tabs>
        <w:ind w:left="6468" w:hanging="360"/>
      </w:pPr>
      <w:rPr>
        <w:rFonts w:ascii="Symbol" w:hAnsi="Symbol" w:hint="default"/>
      </w:rPr>
    </w:lvl>
    <w:lvl w:ilvl="8" w:tplc="EAE85A20" w:tentative="1">
      <w:start w:val="1"/>
      <w:numFmt w:val="bullet"/>
      <w:lvlText w:val=""/>
      <w:lvlJc w:val="left"/>
      <w:pPr>
        <w:tabs>
          <w:tab w:val="num" w:pos="7188"/>
        </w:tabs>
        <w:ind w:left="7188" w:hanging="360"/>
      </w:pPr>
      <w:rPr>
        <w:rFonts w:ascii="Symbol" w:hAnsi="Symbol" w:hint="default"/>
      </w:rPr>
    </w:lvl>
  </w:abstractNum>
  <w:num w:numId="1" w16cid:durableId="31342197">
    <w:abstractNumId w:val="1"/>
  </w:num>
  <w:num w:numId="2" w16cid:durableId="111367254">
    <w:abstractNumId w:val="0"/>
  </w:num>
  <w:num w:numId="3" w16cid:durableId="2121143391">
    <w:abstractNumId w:val="3"/>
  </w:num>
  <w:num w:numId="4" w16cid:durableId="223029766">
    <w:abstractNumId w:val="2"/>
  </w:num>
  <w:num w:numId="5" w16cid:durableId="5717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43"/>
    <w:rsid w:val="00204732"/>
    <w:rsid w:val="0023416C"/>
    <w:rsid w:val="002D7BC4"/>
    <w:rsid w:val="00326484"/>
    <w:rsid w:val="00355FEF"/>
    <w:rsid w:val="0039190F"/>
    <w:rsid w:val="003F73C6"/>
    <w:rsid w:val="00456503"/>
    <w:rsid w:val="00472397"/>
    <w:rsid w:val="004B33D1"/>
    <w:rsid w:val="004F1379"/>
    <w:rsid w:val="00505017"/>
    <w:rsid w:val="00511DD3"/>
    <w:rsid w:val="00557B43"/>
    <w:rsid w:val="00646C3B"/>
    <w:rsid w:val="00691704"/>
    <w:rsid w:val="006C4BD8"/>
    <w:rsid w:val="00773C29"/>
    <w:rsid w:val="007F526E"/>
    <w:rsid w:val="007F57AD"/>
    <w:rsid w:val="008479E3"/>
    <w:rsid w:val="008B726A"/>
    <w:rsid w:val="008C2297"/>
    <w:rsid w:val="00A01D01"/>
    <w:rsid w:val="00B1786D"/>
    <w:rsid w:val="00B40ED4"/>
    <w:rsid w:val="00BA5A33"/>
    <w:rsid w:val="00C4739D"/>
    <w:rsid w:val="00C84621"/>
    <w:rsid w:val="00E4232A"/>
    <w:rsid w:val="00E60FDE"/>
    <w:rsid w:val="00F11390"/>
    <w:rsid w:val="00F27E80"/>
    <w:rsid w:val="00FE6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DD8533A"/>
  <w15:chartTrackingRefBased/>
  <w15:docId w15:val="{41F65418-1682-42E1-B846-54DA6A55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B43"/>
    <w:pPr>
      <w:spacing w:after="200" w:line="276" w:lineRule="auto"/>
    </w:pPr>
  </w:style>
  <w:style w:type="paragraph" w:styleId="Kop1">
    <w:name w:val="heading 1"/>
    <w:basedOn w:val="Standaard"/>
    <w:next w:val="Standaard"/>
    <w:link w:val="Kop1Char"/>
    <w:uiPriority w:val="9"/>
    <w:qFormat/>
    <w:rsid w:val="00C4739D"/>
    <w:pPr>
      <w:keepNext/>
      <w:keepLines/>
      <w:spacing w:before="480" w:after="240"/>
      <w:outlineLvl w:val="0"/>
    </w:pPr>
    <w:rPr>
      <w:rFonts w:ascii="AvenirNext LT Pro Regular" w:eastAsiaTheme="majorEastAsia" w:hAnsi="AvenirNext LT Pro Regular" w:cstheme="majorBidi"/>
      <w:b/>
      <w:color w:val="006666"/>
      <w:sz w:val="56"/>
      <w:szCs w:val="32"/>
      <w:u w:val="single"/>
    </w:rPr>
  </w:style>
  <w:style w:type="paragraph" w:styleId="Kop2">
    <w:name w:val="heading 2"/>
    <w:basedOn w:val="Standaard"/>
    <w:next w:val="Standaard"/>
    <w:link w:val="Kop2Char"/>
    <w:uiPriority w:val="9"/>
    <w:unhideWhenUsed/>
    <w:qFormat/>
    <w:rsid w:val="00C4739D"/>
    <w:pPr>
      <w:keepNext/>
      <w:keepLines/>
      <w:spacing w:before="40" w:after="0"/>
      <w:outlineLvl w:val="1"/>
    </w:pPr>
    <w:rPr>
      <w:rFonts w:ascii="AvenirNext LT Pro Regular" w:eastAsiaTheme="majorEastAsia" w:hAnsi="AvenirNext LT Pro Regular" w:cstheme="majorBidi"/>
      <w:b/>
      <w:color w:val="006666"/>
      <w:sz w:val="4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39D"/>
    <w:rPr>
      <w:rFonts w:ascii="AvenirNext LT Pro Regular" w:eastAsiaTheme="majorEastAsia" w:hAnsi="AvenirNext LT Pro Regular" w:cstheme="majorBidi"/>
      <w:b/>
      <w:color w:val="006666"/>
      <w:sz w:val="56"/>
      <w:szCs w:val="32"/>
      <w:u w:val="single"/>
    </w:rPr>
  </w:style>
  <w:style w:type="paragraph" w:styleId="Kopvaninhoudsopgave">
    <w:name w:val="TOC Heading"/>
    <w:basedOn w:val="Kop1"/>
    <w:next w:val="Standaard"/>
    <w:uiPriority w:val="39"/>
    <w:unhideWhenUsed/>
    <w:qFormat/>
    <w:rsid w:val="00557B43"/>
    <w:pPr>
      <w:outlineLvl w:val="9"/>
    </w:pPr>
    <w:rPr>
      <w:b w:val="0"/>
      <w:bCs/>
      <w:sz w:val="28"/>
      <w:szCs w:val="28"/>
      <w:lang w:eastAsia="nl-NL"/>
    </w:rPr>
  </w:style>
  <w:style w:type="paragraph" w:styleId="Inhopg1">
    <w:name w:val="toc 1"/>
    <w:basedOn w:val="Standaard"/>
    <w:next w:val="Standaard"/>
    <w:autoRedefine/>
    <w:uiPriority w:val="39"/>
    <w:unhideWhenUsed/>
    <w:rsid w:val="00BA5A33"/>
    <w:pPr>
      <w:spacing w:after="100"/>
    </w:pPr>
    <w:rPr>
      <w:rFonts w:ascii="AvenirNext LT Pro Regular" w:hAnsi="AvenirNext LT Pro Regular"/>
      <w:b/>
      <w:sz w:val="40"/>
    </w:rPr>
  </w:style>
  <w:style w:type="character" w:styleId="Hyperlink">
    <w:name w:val="Hyperlink"/>
    <w:basedOn w:val="Standaardalinea-lettertype"/>
    <w:uiPriority w:val="99"/>
    <w:unhideWhenUsed/>
    <w:rsid w:val="00557B43"/>
    <w:rPr>
      <w:color w:val="0563C1" w:themeColor="hyperlink"/>
      <w:u w:val="single"/>
    </w:rPr>
  </w:style>
  <w:style w:type="paragraph" w:styleId="Lijstalinea">
    <w:name w:val="List Paragraph"/>
    <w:basedOn w:val="Standaard"/>
    <w:uiPriority w:val="34"/>
    <w:qFormat/>
    <w:rsid w:val="00557B43"/>
    <w:pPr>
      <w:ind w:left="720"/>
      <w:contextualSpacing/>
    </w:pPr>
  </w:style>
  <w:style w:type="paragraph" w:styleId="Geenafstand">
    <w:name w:val="No Spacing"/>
    <w:uiPriority w:val="1"/>
    <w:qFormat/>
    <w:rsid w:val="00C4739D"/>
    <w:pPr>
      <w:spacing w:after="0" w:line="240" w:lineRule="auto"/>
    </w:pPr>
    <w:rPr>
      <w:rFonts w:ascii="AvenirNext LT Pro Regular" w:hAnsi="AvenirNext LT Pro Regular"/>
      <w:sz w:val="40"/>
    </w:rPr>
  </w:style>
  <w:style w:type="paragraph" w:styleId="Koptekst">
    <w:name w:val="header"/>
    <w:basedOn w:val="Standaard"/>
    <w:link w:val="KoptekstChar"/>
    <w:uiPriority w:val="99"/>
    <w:unhideWhenUsed/>
    <w:rsid w:val="00557B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7B43"/>
  </w:style>
  <w:style w:type="paragraph" w:styleId="Voettekst">
    <w:name w:val="footer"/>
    <w:basedOn w:val="Standaard"/>
    <w:link w:val="VoettekstChar"/>
    <w:uiPriority w:val="99"/>
    <w:unhideWhenUsed/>
    <w:rsid w:val="00557B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7B43"/>
  </w:style>
  <w:style w:type="paragraph" w:styleId="Titel">
    <w:name w:val="Title"/>
    <w:basedOn w:val="Standaard"/>
    <w:next w:val="Standaard"/>
    <w:link w:val="TitelChar"/>
    <w:uiPriority w:val="10"/>
    <w:qFormat/>
    <w:rsid w:val="00557B43"/>
    <w:pPr>
      <w:spacing w:after="0" w:line="240" w:lineRule="auto"/>
      <w:contextualSpacing/>
    </w:pPr>
    <w:rPr>
      <w:rFonts w:ascii="AvenirNext LT Pro Regular" w:eastAsiaTheme="majorEastAsia" w:hAnsi="AvenirNext LT Pro Regular" w:cstheme="majorBidi"/>
      <w:color w:val="006666"/>
      <w:spacing w:val="-10"/>
      <w:kern w:val="28"/>
      <w:sz w:val="56"/>
      <w:szCs w:val="56"/>
      <w:u w:val="single"/>
    </w:rPr>
  </w:style>
  <w:style w:type="character" w:customStyle="1" w:styleId="TitelChar">
    <w:name w:val="Titel Char"/>
    <w:basedOn w:val="Standaardalinea-lettertype"/>
    <w:link w:val="Titel"/>
    <w:uiPriority w:val="10"/>
    <w:rsid w:val="00557B43"/>
    <w:rPr>
      <w:rFonts w:ascii="AvenirNext LT Pro Regular" w:eastAsiaTheme="majorEastAsia" w:hAnsi="AvenirNext LT Pro Regular" w:cstheme="majorBidi"/>
      <w:color w:val="006666"/>
      <w:spacing w:val="-10"/>
      <w:kern w:val="28"/>
      <w:sz w:val="56"/>
      <w:szCs w:val="56"/>
      <w:u w:val="single"/>
    </w:rPr>
  </w:style>
  <w:style w:type="character" w:customStyle="1" w:styleId="Kop2Char">
    <w:name w:val="Kop 2 Char"/>
    <w:basedOn w:val="Standaardalinea-lettertype"/>
    <w:link w:val="Kop2"/>
    <w:uiPriority w:val="9"/>
    <w:rsid w:val="00C4739D"/>
    <w:rPr>
      <w:rFonts w:ascii="AvenirNext LT Pro Regular" w:eastAsiaTheme="majorEastAsia" w:hAnsi="AvenirNext LT Pro Regular" w:cstheme="majorBidi"/>
      <w:b/>
      <w:color w:val="006666"/>
      <w:sz w:val="48"/>
      <w:szCs w:val="26"/>
    </w:rPr>
  </w:style>
  <w:style w:type="paragraph" w:styleId="Inhopg2">
    <w:name w:val="toc 2"/>
    <w:basedOn w:val="Standaard"/>
    <w:next w:val="Standaard"/>
    <w:autoRedefine/>
    <w:uiPriority w:val="39"/>
    <w:unhideWhenUsed/>
    <w:rsid w:val="00BA5A33"/>
    <w:pPr>
      <w:spacing w:after="100"/>
      <w:ind w:left="220"/>
    </w:pPr>
    <w:rPr>
      <w:rFonts w:ascii="AvenirNext LT Pro Regular" w:hAnsi="AvenirNext LT Pro Regular"/>
      <w:sz w:val="40"/>
    </w:rPr>
  </w:style>
  <w:style w:type="character" w:styleId="Onopgelostemelding">
    <w:name w:val="Unresolved Mention"/>
    <w:basedOn w:val="Standaardalinea-lettertype"/>
    <w:uiPriority w:val="99"/>
    <w:semiHidden/>
    <w:unhideWhenUsed/>
    <w:rsid w:val="0050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ogle.nl/url?sa=i&amp;rct=j&amp;q=&amp;esrc=s&amp;frm=1&amp;source=images&amp;cd=&amp;cad=rja&amp;uact=8&amp;ved=0CAcQjRw&amp;url=http://gevoeligkind.nl/heeft-mijn-kind-dyslexie/&amp;ei=CurJVNq-KYT8PNvZgYgO&amp;bvm=bv.84607526,d.ZWU&amp;psig=AFQjCNGX3PCCdJbr8IQoM2YXrGE_rRdJ5Q&amp;ust=1422605169266388" TargetMode="External"/><Relationship Id="rId17" Type="http://schemas.openxmlformats.org/officeDocument/2006/relationships/image" Target="cid:1953524C-EC08-4A7B-B4D9-CC818D08A7E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m.azimi@hvc.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44BC6E3D10A4699C24BC6ADF723C3" ma:contentTypeVersion="4" ma:contentTypeDescription="Een nieuw document maken." ma:contentTypeScope="" ma:versionID="b4f4f0fa423891b501dd2395e2b004d9">
  <xsd:schema xmlns:xsd="http://www.w3.org/2001/XMLSchema" xmlns:xs="http://www.w3.org/2001/XMLSchema" xmlns:p="http://schemas.microsoft.com/office/2006/metadata/properties" xmlns:ns2="cd15cedd-d95f-4d7f-8cc3-19a548148e37" targetNamespace="http://schemas.microsoft.com/office/2006/metadata/properties" ma:root="true" ma:fieldsID="ee324ebf673df2dea89c831a3efc37c6" ns2:_="">
    <xsd:import namespace="cd15cedd-d95f-4d7f-8cc3-19a548148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5cedd-d95f-4d7f-8cc3-19a548148e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38F79-D8EE-4C9B-9D4C-7C5A5D5DAC4C}">
  <ds:schemaRefs>
    <ds:schemaRef ds:uri="http://schemas.openxmlformats.org/officeDocument/2006/bibliography"/>
  </ds:schemaRefs>
</ds:datastoreItem>
</file>

<file path=customXml/itemProps2.xml><?xml version="1.0" encoding="utf-8"?>
<ds:datastoreItem xmlns:ds="http://schemas.openxmlformats.org/officeDocument/2006/customXml" ds:itemID="{562719C9-936C-4BD2-9154-C5B435E016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ED4471-BBF7-4785-B207-5302403EC027}">
  <ds:schemaRefs>
    <ds:schemaRef ds:uri="http://schemas.microsoft.com/sharepoint/v3/contenttype/forms"/>
  </ds:schemaRefs>
</ds:datastoreItem>
</file>

<file path=customXml/itemProps4.xml><?xml version="1.0" encoding="utf-8"?>
<ds:datastoreItem xmlns:ds="http://schemas.openxmlformats.org/officeDocument/2006/customXml" ds:itemID="{4ACC71EB-0A78-42FD-BBAB-CF16ECA5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5cedd-d95f-4d7f-8cc3-19a548148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534</Words>
  <Characters>2938</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Huikeshoven</dc:creator>
  <cp:keywords/>
  <dc:description/>
  <cp:lastModifiedBy>Lenneke Keijzers</cp:lastModifiedBy>
  <cp:revision>2</cp:revision>
  <cp:lastPrinted>2023-01-30T09:13:00Z</cp:lastPrinted>
  <dcterms:created xsi:type="dcterms:W3CDTF">2023-10-14T14:20:00Z</dcterms:created>
  <dcterms:modified xsi:type="dcterms:W3CDTF">2023-10-14T14:20:00Z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0x010100E9144BC6E3D10A4699C24BC6ADF723C3</vt:lpwstr>
  </property>
</Properties>
</file>